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7A" w:rsidRPr="00F62E9B" w:rsidRDefault="00046F7A" w:rsidP="00046F7A">
      <w:pPr>
        <w:tabs>
          <w:tab w:val="right" w:pos="9071"/>
        </w:tabs>
        <w:spacing w:after="0" w:line="240" w:lineRule="auto"/>
        <w:ind w:firstLine="720"/>
        <w:jc w:val="right"/>
        <w:rPr>
          <w:rFonts w:ascii="Times New Roman" w:hAnsi="Times New Roman"/>
          <w:sz w:val="24"/>
        </w:rPr>
      </w:pPr>
      <w:r w:rsidRPr="00F62E9B">
        <w:rPr>
          <w:rFonts w:ascii="Times New Roman" w:hAnsi="Times New Roman"/>
          <w:sz w:val="24"/>
        </w:rPr>
        <w:t>Ogres novada pašvaldības domes</w:t>
      </w:r>
    </w:p>
    <w:p w:rsidR="00046F7A" w:rsidRPr="00F62E9B" w:rsidRDefault="00046F7A" w:rsidP="00046F7A">
      <w:pPr>
        <w:tabs>
          <w:tab w:val="right" w:pos="9071"/>
        </w:tabs>
        <w:spacing w:after="0" w:line="240" w:lineRule="auto"/>
        <w:ind w:firstLine="720"/>
        <w:jc w:val="right"/>
        <w:rPr>
          <w:rFonts w:ascii="Times New Roman" w:hAnsi="Times New Roman"/>
          <w:sz w:val="24"/>
        </w:rPr>
      </w:pPr>
      <w:r w:rsidRPr="00F62E9B">
        <w:rPr>
          <w:rFonts w:ascii="Times New Roman" w:hAnsi="Times New Roman"/>
          <w:sz w:val="24"/>
        </w:rPr>
        <w:t xml:space="preserve">29.04.2025. ārkārtas sēdes lēmumam </w:t>
      </w:r>
    </w:p>
    <w:p w:rsidR="00046F7A" w:rsidRPr="00F62E9B" w:rsidRDefault="00046F7A" w:rsidP="00046F7A">
      <w:pPr>
        <w:tabs>
          <w:tab w:val="right" w:pos="9071"/>
        </w:tabs>
        <w:spacing w:after="0" w:line="240" w:lineRule="auto"/>
        <w:ind w:firstLine="720"/>
        <w:jc w:val="right"/>
        <w:rPr>
          <w:sz w:val="24"/>
        </w:rPr>
      </w:pPr>
      <w:r w:rsidRPr="00F62E9B">
        <w:rPr>
          <w:rFonts w:ascii="Times New Roman" w:hAnsi="Times New Roman"/>
          <w:sz w:val="24"/>
        </w:rPr>
        <w:t>(protokols Nr.6; 2.)</w:t>
      </w:r>
    </w:p>
    <w:p w:rsidR="00046F7A" w:rsidRPr="00F62E9B" w:rsidRDefault="00046F7A" w:rsidP="00046F7A">
      <w:pPr>
        <w:tabs>
          <w:tab w:val="right" w:pos="9071"/>
        </w:tabs>
        <w:spacing w:after="0" w:line="240" w:lineRule="auto"/>
        <w:ind w:firstLine="720"/>
        <w:jc w:val="right"/>
        <w:rPr>
          <w:sz w:val="24"/>
        </w:rPr>
      </w:pPr>
    </w:p>
    <w:p w:rsidR="00046F7A" w:rsidRPr="00F62E9B" w:rsidRDefault="00046F7A" w:rsidP="00046F7A">
      <w:pPr>
        <w:jc w:val="center"/>
        <w:rPr>
          <w:rFonts w:ascii="Times New Roman" w:hAnsi="Times New Roman"/>
          <w:b/>
          <w:sz w:val="24"/>
          <w:szCs w:val="24"/>
        </w:rPr>
      </w:pPr>
      <w:r w:rsidRPr="00F62E9B">
        <w:rPr>
          <w:rFonts w:ascii="Times New Roman" w:hAnsi="Times New Roman"/>
          <w:b/>
          <w:sz w:val="24"/>
          <w:szCs w:val="24"/>
        </w:rPr>
        <w:t>Ogres Vēstures un mākslas muzeja maksas pakalpojumu cenrādis</w:t>
      </w:r>
    </w:p>
    <w:p w:rsidR="00046F7A" w:rsidRPr="00F62E9B" w:rsidRDefault="00046F7A" w:rsidP="00046F7A">
      <w:pPr>
        <w:rPr>
          <w:rFonts w:ascii="Times New Roman" w:hAnsi="Times New Roman"/>
          <w:bCs/>
          <w:sz w:val="24"/>
          <w:szCs w:val="24"/>
        </w:rPr>
      </w:pPr>
      <w:r w:rsidRPr="00F62E9B">
        <w:rPr>
          <w:rFonts w:ascii="Times New Roman" w:hAnsi="Times New Roman"/>
          <w:bCs/>
          <w:sz w:val="24"/>
          <w:szCs w:val="24"/>
        </w:rPr>
        <w:t>1. Ogres Vēstures un mākslas muzejs sniedz maksas pakalpojumu saskaņā ar šādu cenrādi:</w:t>
      </w:r>
    </w:p>
    <w:tbl>
      <w:tblPr>
        <w:tblStyle w:val="Reatabula"/>
        <w:tblW w:w="9493" w:type="dxa"/>
        <w:tblLook w:val="04A0" w:firstRow="1" w:lastRow="0" w:firstColumn="1" w:lastColumn="0" w:noHBand="0" w:noVBand="1"/>
      </w:tblPr>
      <w:tblGrid>
        <w:gridCol w:w="890"/>
        <w:gridCol w:w="5768"/>
        <w:gridCol w:w="1559"/>
        <w:gridCol w:w="1276"/>
      </w:tblGrid>
      <w:tr w:rsidR="00046F7A" w:rsidRPr="00F62E9B" w:rsidTr="00ED48F7">
        <w:tc>
          <w:tcPr>
            <w:tcW w:w="890" w:type="dxa"/>
          </w:tcPr>
          <w:p w:rsidR="00046F7A" w:rsidRPr="00F62E9B" w:rsidRDefault="00046F7A" w:rsidP="00ED48F7">
            <w:pPr>
              <w:jc w:val="center"/>
              <w:rPr>
                <w:rFonts w:ascii="Times New Roman" w:hAnsi="Times New Roman"/>
                <w:sz w:val="24"/>
                <w:szCs w:val="24"/>
                <w:lang w:val="lv-LV"/>
              </w:rPr>
            </w:pPr>
            <w:proofErr w:type="spellStart"/>
            <w:r w:rsidRPr="00F62E9B">
              <w:rPr>
                <w:rFonts w:ascii="Times New Roman" w:hAnsi="Times New Roman"/>
                <w:sz w:val="24"/>
                <w:szCs w:val="24"/>
                <w:lang w:val="lv-LV"/>
              </w:rPr>
              <w:t>Nr.p.k</w:t>
            </w:r>
            <w:proofErr w:type="spellEnd"/>
            <w:r w:rsidRPr="00F62E9B">
              <w:rPr>
                <w:rFonts w:ascii="Times New Roman" w:hAnsi="Times New Roman"/>
                <w:sz w:val="24"/>
                <w:szCs w:val="24"/>
                <w:lang w:val="lv-LV"/>
              </w:rPr>
              <w:t>.</w:t>
            </w:r>
          </w:p>
        </w:tc>
        <w:tc>
          <w:tcPr>
            <w:tcW w:w="5768"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Pakalpojuma veids</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Mērvienība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Cena bez PVN</w:t>
            </w:r>
            <w:r w:rsidRPr="00F62E9B">
              <w:rPr>
                <w:rStyle w:val="Vresatsauce"/>
                <w:rFonts w:ascii="Times New Roman" w:hAnsi="Times New Roman"/>
                <w:sz w:val="24"/>
                <w:szCs w:val="24"/>
                <w:lang w:val="lv-LV"/>
              </w:rPr>
              <w:footnoteReference w:id="1"/>
            </w:r>
            <w:r w:rsidRPr="00F62E9B">
              <w:rPr>
                <w:rFonts w:ascii="Times New Roman" w:hAnsi="Times New Roman"/>
                <w:sz w:val="24"/>
                <w:szCs w:val="24"/>
                <w:lang w:val="lv-LV"/>
              </w:rPr>
              <w:t xml:space="preserve"> </w:t>
            </w:r>
            <w:r w:rsidRPr="00F62E9B">
              <w:rPr>
                <w:rFonts w:ascii="Times New Roman" w:hAnsi="Times New Roman"/>
                <w:i/>
                <w:sz w:val="24"/>
                <w:szCs w:val="24"/>
                <w:lang w:val="lv-LV"/>
              </w:rPr>
              <w:t>(</w:t>
            </w:r>
            <w:proofErr w:type="spellStart"/>
            <w:r w:rsidRPr="00F62E9B">
              <w:rPr>
                <w:rFonts w:ascii="Times New Roman" w:hAnsi="Times New Roman"/>
                <w:i/>
                <w:sz w:val="24"/>
                <w:szCs w:val="24"/>
                <w:lang w:val="lv-LV"/>
              </w:rPr>
              <w:t>euro</w:t>
            </w:r>
            <w:proofErr w:type="spellEnd"/>
            <w:r w:rsidRPr="00F62E9B">
              <w:rPr>
                <w:rFonts w:ascii="Times New Roman" w:hAnsi="Times New Roman"/>
                <w:i/>
                <w:sz w:val="24"/>
                <w:szCs w:val="24"/>
                <w:lang w:val="lv-LV"/>
              </w:rPr>
              <w:t>)</w:t>
            </w:r>
          </w:p>
        </w:tc>
      </w:tr>
      <w:tr w:rsidR="00046F7A" w:rsidRPr="00F62E9B" w:rsidTr="00ED48F7">
        <w:tc>
          <w:tcPr>
            <w:tcW w:w="890"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1.</w:t>
            </w:r>
          </w:p>
        </w:tc>
        <w:tc>
          <w:tcPr>
            <w:tcW w:w="5768"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Muzeja pastāvīgo ekspozīciju, izstāžu apmeklējums</w:t>
            </w:r>
          </w:p>
        </w:tc>
        <w:tc>
          <w:tcPr>
            <w:tcW w:w="1559" w:type="dxa"/>
          </w:tcPr>
          <w:p w:rsidR="00046F7A" w:rsidRPr="00F62E9B" w:rsidRDefault="00046F7A" w:rsidP="00ED48F7">
            <w:pPr>
              <w:jc w:val="both"/>
              <w:rPr>
                <w:rFonts w:ascii="Times New Roman" w:hAnsi="Times New Roman"/>
                <w:sz w:val="24"/>
                <w:szCs w:val="24"/>
                <w:lang w:val="lv-LV"/>
              </w:rPr>
            </w:pPr>
          </w:p>
        </w:tc>
        <w:tc>
          <w:tcPr>
            <w:tcW w:w="1276" w:type="dxa"/>
          </w:tcPr>
          <w:p w:rsidR="00046F7A" w:rsidRPr="00F62E9B" w:rsidRDefault="00046F7A" w:rsidP="00ED48F7">
            <w:pPr>
              <w:jc w:val="both"/>
              <w:rPr>
                <w:rFonts w:ascii="Times New Roman" w:hAnsi="Times New Roman"/>
                <w:sz w:val="24"/>
                <w:szCs w:val="24"/>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1.1.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Pieaugušajiem (viena ekspozīcija)</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2,50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1.2.</w:t>
            </w:r>
          </w:p>
        </w:tc>
        <w:tc>
          <w:tcPr>
            <w:tcW w:w="5768" w:type="dxa"/>
          </w:tcPr>
          <w:p w:rsidR="00046F7A" w:rsidRPr="007C70BE" w:rsidRDefault="00046F7A" w:rsidP="00ED48F7">
            <w:pPr>
              <w:jc w:val="both"/>
              <w:rPr>
                <w:rFonts w:ascii="Times New Roman" w:hAnsi="Times New Roman"/>
                <w:sz w:val="24"/>
                <w:szCs w:val="24"/>
                <w:highlight w:val="yellow"/>
                <w:lang w:val="lv-LV"/>
              </w:rPr>
            </w:pPr>
            <w:r w:rsidRPr="0039614C">
              <w:rPr>
                <w:rFonts w:ascii="Times New Roman" w:hAnsi="Times New Roman"/>
                <w:sz w:val="24"/>
                <w:szCs w:val="24"/>
                <w:lang w:val="lv-LV"/>
              </w:rPr>
              <w:t>Pieaugušajiem (kopējā biļete – Brīvības 36 un Brīvības 2)</w:t>
            </w:r>
          </w:p>
        </w:tc>
        <w:tc>
          <w:tcPr>
            <w:tcW w:w="1559"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1 persona</w:t>
            </w:r>
          </w:p>
        </w:tc>
        <w:tc>
          <w:tcPr>
            <w:tcW w:w="1276"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4,00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1.3.</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Skolēniem, studentiem, pensionāriem (viena ekspozīcija)</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1.4.</w:t>
            </w:r>
          </w:p>
        </w:tc>
        <w:tc>
          <w:tcPr>
            <w:tcW w:w="5768" w:type="dxa"/>
          </w:tcPr>
          <w:p w:rsidR="00046F7A" w:rsidRPr="007C70BE" w:rsidRDefault="00046F7A" w:rsidP="00ED48F7">
            <w:pPr>
              <w:jc w:val="both"/>
              <w:rPr>
                <w:rFonts w:ascii="Times New Roman" w:hAnsi="Times New Roman"/>
                <w:sz w:val="24"/>
                <w:szCs w:val="24"/>
                <w:highlight w:val="yellow"/>
                <w:lang w:val="lv-LV"/>
              </w:rPr>
            </w:pPr>
            <w:r w:rsidRPr="0039614C">
              <w:rPr>
                <w:rFonts w:ascii="Times New Roman" w:hAnsi="Times New Roman"/>
                <w:sz w:val="24"/>
                <w:szCs w:val="24"/>
                <w:lang w:val="lv-LV"/>
              </w:rPr>
              <w:t>Skolēniem, studentiem, pensionāriem (kopējā biļete – Brīvības 36 un Brīvības 2)</w:t>
            </w:r>
          </w:p>
        </w:tc>
        <w:tc>
          <w:tcPr>
            <w:tcW w:w="1559"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1 persona</w:t>
            </w:r>
          </w:p>
        </w:tc>
        <w:tc>
          <w:tcPr>
            <w:tcW w:w="1276"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1,50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1.5.</w:t>
            </w:r>
          </w:p>
        </w:tc>
        <w:tc>
          <w:tcPr>
            <w:tcW w:w="5768" w:type="dxa"/>
          </w:tcPr>
          <w:p w:rsidR="00046F7A" w:rsidRPr="00F62E9B" w:rsidRDefault="00046F7A" w:rsidP="00ED48F7">
            <w:pPr>
              <w:jc w:val="both"/>
              <w:rPr>
                <w:rFonts w:ascii="Times New Roman" w:hAnsi="Times New Roman"/>
                <w:sz w:val="24"/>
                <w:szCs w:val="24"/>
                <w:vertAlign w:val="superscript"/>
                <w:lang w:val="lv-LV"/>
              </w:rPr>
            </w:pPr>
            <w:r w:rsidRPr="00F62E9B">
              <w:rPr>
                <w:rFonts w:ascii="Times New Roman" w:hAnsi="Times New Roman"/>
                <w:sz w:val="24"/>
                <w:szCs w:val="24"/>
                <w:lang w:val="lv-LV"/>
              </w:rPr>
              <w:t>Goda ģimenei</w:t>
            </w:r>
            <w:r w:rsidRPr="00F62E9B">
              <w:rPr>
                <w:rStyle w:val="Vresatsauce"/>
                <w:rFonts w:ascii="Times New Roman" w:hAnsi="Times New Roman"/>
                <w:sz w:val="24"/>
                <w:szCs w:val="24"/>
                <w:lang w:val="lv-LV"/>
              </w:rPr>
              <w:footnoteReference w:id="2"/>
            </w:r>
            <w:r w:rsidRPr="00F62E9B">
              <w:rPr>
                <w:rFonts w:ascii="Times New Roman" w:hAnsi="Times New Roman"/>
                <w:sz w:val="24"/>
                <w:szCs w:val="24"/>
                <w:lang w:val="lv-LV"/>
              </w:rPr>
              <w:t xml:space="preserve"> (viena ekspozīcija)</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ģimene</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5,00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1.6.</w:t>
            </w:r>
          </w:p>
        </w:tc>
        <w:tc>
          <w:tcPr>
            <w:tcW w:w="5768" w:type="dxa"/>
          </w:tcPr>
          <w:p w:rsidR="00046F7A" w:rsidRPr="007C70BE" w:rsidRDefault="00046F7A" w:rsidP="00ED48F7">
            <w:pPr>
              <w:jc w:val="both"/>
              <w:rPr>
                <w:rFonts w:ascii="Times New Roman" w:hAnsi="Times New Roman"/>
                <w:sz w:val="24"/>
                <w:szCs w:val="24"/>
                <w:highlight w:val="yellow"/>
                <w:lang w:val="lv-LV"/>
              </w:rPr>
            </w:pPr>
            <w:r w:rsidRPr="0039614C">
              <w:rPr>
                <w:rFonts w:ascii="Times New Roman" w:hAnsi="Times New Roman"/>
                <w:sz w:val="24"/>
                <w:szCs w:val="24"/>
                <w:lang w:val="lv-LV"/>
              </w:rPr>
              <w:t>Goda ģimenei  (kopējā biļete – Brīvības 36 un Brīvības 2)</w:t>
            </w:r>
          </w:p>
        </w:tc>
        <w:tc>
          <w:tcPr>
            <w:tcW w:w="1559"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1 ģimene</w:t>
            </w:r>
          </w:p>
        </w:tc>
        <w:tc>
          <w:tcPr>
            <w:tcW w:w="1276"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6,00</w:t>
            </w:r>
          </w:p>
        </w:tc>
      </w:tr>
      <w:tr w:rsidR="00046F7A" w:rsidRPr="00F62E9B" w:rsidTr="00ED48F7">
        <w:tc>
          <w:tcPr>
            <w:tcW w:w="890"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2.</w:t>
            </w:r>
          </w:p>
        </w:tc>
        <w:tc>
          <w:tcPr>
            <w:tcW w:w="5768"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Izglītojoši pasākumi</w:t>
            </w:r>
          </w:p>
        </w:tc>
        <w:tc>
          <w:tcPr>
            <w:tcW w:w="1559" w:type="dxa"/>
          </w:tcPr>
          <w:p w:rsidR="00046F7A" w:rsidRPr="00F62E9B" w:rsidRDefault="00046F7A" w:rsidP="00ED48F7">
            <w:pPr>
              <w:jc w:val="center"/>
              <w:rPr>
                <w:rFonts w:ascii="Times New Roman" w:hAnsi="Times New Roman"/>
                <w:sz w:val="24"/>
                <w:szCs w:val="24"/>
                <w:lang w:val="lv-LV"/>
              </w:rPr>
            </w:pPr>
          </w:p>
        </w:tc>
        <w:tc>
          <w:tcPr>
            <w:tcW w:w="1276" w:type="dxa"/>
          </w:tcPr>
          <w:p w:rsidR="00046F7A" w:rsidRPr="00F62E9B" w:rsidRDefault="00046F7A" w:rsidP="00ED48F7">
            <w:pPr>
              <w:jc w:val="center"/>
              <w:rPr>
                <w:rFonts w:ascii="Times New Roman" w:hAnsi="Times New Roman"/>
                <w:sz w:val="24"/>
                <w:szCs w:val="24"/>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Ekskursija muzejā (individuāli vai grupā)</w:t>
            </w:r>
          </w:p>
        </w:tc>
        <w:tc>
          <w:tcPr>
            <w:tcW w:w="1559" w:type="dxa"/>
          </w:tcPr>
          <w:p w:rsidR="00046F7A" w:rsidRPr="00F62E9B" w:rsidRDefault="00046F7A" w:rsidP="00ED48F7">
            <w:pPr>
              <w:jc w:val="center"/>
              <w:rPr>
                <w:rFonts w:ascii="Times New Roman" w:hAnsi="Times New Roman"/>
                <w:sz w:val="24"/>
                <w:szCs w:val="24"/>
                <w:lang w:val="lv-LV"/>
              </w:rPr>
            </w:pPr>
          </w:p>
        </w:tc>
        <w:tc>
          <w:tcPr>
            <w:tcW w:w="1276" w:type="dxa"/>
          </w:tcPr>
          <w:p w:rsidR="00046F7A" w:rsidRPr="00F62E9B" w:rsidRDefault="00046F7A" w:rsidP="00ED48F7">
            <w:pPr>
              <w:jc w:val="center"/>
              <w:rPr>
                <w:rFonts w:ascii="Times New Roman" w:hAnsi="Times New Roman"/>
                <w:sz w:val="24"/>
                <w:szCs w:val="24"/>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2.1.1.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Ekskursija latviešu valodā</w:t>
            </w:r>
          </w:p>
          <w:p w:rsidR="00046F7A" w:rsidRPr="00F62E9B" w:rsidRDefault="00046F7A" w:rsidP="00ED48F7">
            <w:pPr>
              <w:jc w:val="both"/>
              <w:rPr>
                <w:rFonts w:ascii="Times New Roman" w:hAnsi="Times New Roman"/>
                <w:i/>
                <w:sz w:val="24"/>
                <w:szCs w:val="24"/>
                <w:lang w:val="lv-LV"/>
              </w:rPr>
            </w:pPr>
            <w:r w:rsidRPr="00F62E9B">
              <w:rPr>
                <w:rFonts w:ascii="Times New Roman" w:hAnsi="Times New Roman"/>
                <w:i/>
                <w:sz w:val="24"/>
                <w:szCs w:val="24"/>
                <w:lang w:val="lv-LV"/>
              </w:rPr>
              <w:t>+ ieejas biļete no personas</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h</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15,00</w:t>
            </w:r>
          </w:p>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0,50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2.1.2.</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Ekskursija svešvalodā</w:t>
            </w:r>
          </w:p>
          <w:p w:rsidR="00046F7A" w:rsidRPr="00F62E9B" w:rsidRDefault="00046F7A" w:rsidP="00ED48F7">
            <w:pPr>
              <w:jc w:val="both"/>
              <w:rPr>
                <w:rFonts w:ascii="Times New Roman" w:hAnsi="Times New Roman"/>
                <w:i/>
                <w:sz w:val="24"/>
                <w:szCs w:val="24"/>
                <w:lang w:val="lv-LV"/>
              </w:rPr>
            </w:pPr>
            <w:r w:rsidRPr="00F62E9B">
              <w:rPr>
                <w:rFonts w:ascii="Times New Roman" w:hAnsi="Times New Roman"/>
                <w:i/>
                <w:sz w:val="24"/>
                <w:szCs w:val="24"/>
                <w:lang w:val="lv-LV"/>
              </w:rPr>
              <w:t>+ ieejas biļete</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h</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20,00</w:t>
            </w:r>
          </w:p>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0,50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2.2.</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Ekskursija pa Ogres pilsētu (individuāli vai grupā)</w:t>
            </w:r>
          </w:p>
        </w:tc>
        <w:tc>
          <w:tcPr>
            <w:tcW w:w="1559" w:type="dxa"/>
          </w:tcPr>
          <w:p w:rsidR="00046F7A" w:rsidRPr="00F62E9B" w:rsidRDefault="00046F7A" w:rsidP="00ED48F7">
            <w:pPr>
              <w:jc w:val="center"/>
              <w:rPr>
                <w:rFonts w:ascii="Times New Roman" w:hAnsi="Times New Roman"/>
                <w:sz w:val="24"/>
                <w:szCs w:val="24"/>
                <w:lang w:val="lv-LV"/>
              </w:rPr>
            </w:pPr>
          </w:p>
        </w:tc>
        <w:tc>
          <w:tcPr>
            <w:tcW w:w="1276" w:type="dxa"/>
          </w:tcPr>
          <w:p w:rsidR="00046F7A" w:rsidRPr="00F62E9B" w:rsidRDefault="00046F7A" w:rsidP="00ED48F7">
            <w:pPr>
              <w:jc w:val="center"/>
              <w:rPr>
                <w:rFonts w:ascii="Times New Roman" w:hAnsi="Times New Roman"/>
                <w:sz w:val="24"/>
                <w:szCs w:val="24"/>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2.2.1.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 xml:space="preserve">Ekskursija  latviešu valodā </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h</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30,00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2.2.2.</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Ekskursija  svešvalodā</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h</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35,00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2.3.</w:t>
            </w:r>
          </w:p>
        </w:tc>
        <w:tc>
          <w:tcPr>
            <w:tcW w:w="5768" w:type="dxa"/>
          </w:tcPr>
          <w:p w:rsidR="00046F7A" w:rsidRPr="00F62E9B" w:rsidRDefault="00046F7A" w:rsidP="00ED48F7">
            <w:pPr>
              <w:jc w:val="both"/>
              <w:rPr>
                <w:rFonts w:ascii="Times New Roman" w:hAnsi="Times New Roman"/>
                <w:sz w:val="24"/>
                <w:szCs w:val="24"/>
                <w:lang w:val="lv-LV"/>
              </w:rPr>
            </w:pPr>
            <w:proofErr w:type="spellStart"/>
            <w:r w:rsidRPr="00F62E9B">
              <w:rPr>
                <w:rFonts w:ascii="Times New Roman" w:hAnsi="Times New Roman"/>
                <w:sz w:val="24"/>
                <w:szCs w:val="24"/>
                <w:lang w:val="lv-LV"/>
              </w:rPr>
              <w:t>Muzejpedagoģiskā</w:t>
            </w:r>
            <w:proofErr w:type="spellEnd"/>
            <w:r w:rsidRPr="00F62E9B">
              <w:rPr>
                <w:rFonts w:ascii="Times New Roman" w:hAnsi="Times New Roman"/>
                <w:sz w:val="24"/>
                <w:szCs w:val="24"/>
                <w:lang w:val="lv-LV"/>
              </w:rPr>
              <w:t xml:space="preserve"> nodarbība iepriekš pieteiktai grupai (no 10 līdz 30 personām)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1,50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2.4.</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Dalība muzeja rīkotajās radošajās darbnīcās</w:t>
            </w:r>
          </w:p>
        </w:tc>
        <w:tc>
          <w:tcPr>
            <w:tcW w:w="1559" w:type="dxa"/>
          </w:tcPr>
          <w:p w:rsidR="00046F7A" w:rsidRPr="00F62E9B" w:rsidRDefault="00046F7A" w:rsidP="00ED48F7">
            <w:pPr>
              <w:jc w:val="center"/>
              <w:rPr>
                <w:rFonts w:ascii="Times New Roman" w:hAnsi="Times New Roman"/>
                <w:sz w:val="24"/>
                <w:szCs w:val="24"/>
                <w:lang w:val="lv-LV"/>
              </w:rPr>
            </w:pPr>
          </w:p>
        </w:tc>
        <w:tc>
          <w:tcPr>
            <w:tcW w:w="1276" w:type="dxa"/>
          </w:tcPr>
          <w:p w:rsidR="00046F7A" w:rsidRPr="00F62E9B" w:rsidRDefault="00046F7A" w:rsidP="00ED48F7">
            <w:pPr>
              <w:jc w:val="center"/>
              <w:rPr>
                <w:rFonts w:ascii="Times New Roman" w:hAnsi="Times New Roman"/>
                <w:sz w:val="24"/>
                <w:szCs w:val="24"/>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2.4.1.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Pieaugušajiem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5,00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2.4.2.</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Skolēniem, studentiem, pensionāriem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3,00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2.4.3.</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Goda ģimenei</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ģimene</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8,00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2.4.4.</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Mākslinieku radošās darbnīcas/meistarklases</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15,00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2.4.5.</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Mākslinieku radošās darbnīcas/meistarklases ar Goda ģimenes karti</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persona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10,00</w:t>
            </w:r>
          </w:p>
        </w:tc>
      </w:tr>
      <w:tr w:rsidR="00046F7A" w:rsidRPr="00F62E9B" w:rsidTr="00ED48F7">
        <w:tc>
          <w:tcPr>
            <w:tcW w:w="890"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3.</w:t>
            </w:r>
          </w:p>
        </w:tc>
        <w:tc>
          <w:tcPr>
            <w:tcW w:w="5768"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Muzeja krājuma izmantošana</w:t>
            </w:r>
          </w:p>
        </w:tc>
        <w:tc>
          <w:tcPr>
            <w:tcW w:w="1559" w:type="dxa"/>
          </w:tcPr>
          <w:p w:rsidR="00046F7A" w:rsidRPr="00F62E9B" w:rsidRDefault="00046F7A" w:rsidP="00ED48F7">
            <w:pPr>
              <w:jc w:val="center"/>
              <w:rPr>
                <w:rFonts w:ascii="Times New Roman" w:hAnsi="Times New Roman"/>
                <w:sz w:val="24"/>
                <w:szCs w:val="24"/>
                <w:highlight w:val="yellow"/>
                <w:lang w:val="lv-LV"/>
              </w:rPr>
            </w:pPr>
          </w:p>
        </w:tc>
        <w:tc>
          <w:tcPr>
            <w:tcW w:w="1276" w:type="dxa"/>
          </w:tcPr>
          <w:p w:rsidR="00046F7A" w:rsidRPr="00F62E9B" w:rsidRDefault="00046F7A" w:rsidP="00ED48F7">
            <w:pPr>
              <w:jc w:val="center"/>
              <w:rPr>
                <w:rFonts w:ascii="Times New Roman" w:hAnsi="Times New Roman"/>
                <w:sz w:val="24"/>
                <w:szCs w:val="24"/>
                <w:highlight w:val="yellow"/>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3.1.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Krājuma priekšmeta izmantošana nekomerciāliem mērķiem</w:t>
            </w:r>
          </w:p>
        </w:tc>
        <w:tc>
          <w:tcPr>
            <w:tcW w:w="1559" w:type="dxa"/>
          </w:tcPr>
          <w:p w:rsidR="00046F7A" w:rsidRPr="00F62E9B" w:rsidRDefault="00046F7A" w:rsidP="00ED48F7">
            <w:pPr>
              <w:jc w:val="center"/>
              <w:rPr>
                <w:rFonts w:ascii="Times New Roman" w:hAnsi="Times New Roman"/>
                <w:sz w:val="24"/>
                <w:szCs w:val="24"/>
                <w:highlight w:val="yellow"/>
                <w:lang w:val="lv-LV"/>
              </w:rPr>
            </w:pPr>
            <w:r w:rsidRPr="00F62E9B">
              <w:rPr>
                <w:rFonts w:ascii="Times New Roman" w:hAnsi="Times New Roman"/>
                <w:sz w:val="24"/>
                <w:szCs w:val="24"/>
                <w:lang w:val="lv-LV"/>
              </w:rPr>
              <w:t>1 priekšmets</w:t>
            </w:r>
          </w:p>
        </w:tc>
        <w:tc>
          <w:tcPr>
            <w:tcW w:w="1276" w:type="dxa"/>
          </w:tcPr>
          <w:p w:rsidR="00046F7A" w:rsidRPr="00F62E9B" w:rsidRDefault="00046F7A" w:rsidP="00ED48F7">
            <w:pPr>
              <w:jc w:val="center"/>
              <w:rPr>
                <w:rFonts w:ascii="Times New Roman" w:hAnsi="Times New Roman"/>
                <w:sz w:val="24"/>
                <w:szCs w:val="24"/>
                <w:highlight w:val="yellow"/>
                <w:lang w:val="lv-LV"/>
              </w:rPr>
            </w:pPr>
            <w:r w:rsidRPr="00F62E9B">
              <w:rPr>
                <w:rFonts w:ascii="Times New Roman" w:hAnsi="Times New Roman"/>
                <w:sz w:val="24"/>
                <w:szCs w:val="24"/>
                <w:lang w:val="lv-LV"/>
              </w:rPr>
              <w:t>4,00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3.2.</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Krājuma priekšmeta izmantošana komerciāliem mērķiem, TV, Kino, u.c. organizāciju izstādēs:</w:t>
            </w:r>
          </w:p>
          <w:p w:rsidR="00046F7A" w:rsidRPr="00F62E9B" w:rsidRDefault="00046F7A" w:rsidP="00046F7A">
            <w:pPr>
              <w:pStyle w:val="Sarakstarindkopa"/>
              <w:numPr>
                <w:ilvl w:val="0"/>
                <w:numId w:val="1"/>
              </w:numPr>
              <w:jc w:val="both"/>
              <w:rPr>
                <w:rFonts w:ascii="Times New Roman" w:hAnsi="Times New Roman"/>
                <w:sz w:val="24"/>
                <w:szCs w:val="24"/>
                <w:lang w:val="lv-LV"/>
              </w:rPr>
            </w:pPr>
            <w:r w:rsidRPr="00F62E9B">
              <w:rPr>
                <w:rFonts w:ascii="Times New Roman" w:hAnsi="Times New Roman"/>
                <w:sz w:val="24"/>
                <w:szCs w:val="24"/>
                <w:lang w:val="lv-LV"/>
              </w:rPr>
              <w:t>datēti no 1900. g.</w:t>
            </w:r>
          </w:p>
          <w:p w:rsidR="00046F7A" w:rsidRPr="00F62E9B" w:rsidRDefault="00046F7A" w:rsidP="00046F7A">
            <w:pPr>
              <w:pStyle w:val="Sarakstarindkopa"/>
              <w:numPr>
                <w:ilvl w:val="0"/>
                <w:numId w:val="1"/>
              </w:numPr>
              <w:jc w:val="both"/>
              <w:rPr>
                <w:rFonts w:ascii="Times New Roman" w:hAnsi="Times New Roman"/>
                <w:sz w:val="24"/>
                <w:szCs w:val="24"/>
                <w:lang w:val="lv-LV"/>
              </w:rPr>
            </w:pPr>
            <w:r w:rsidRPr="00F62E9B">
              <w:rPr>
                <w:rFonts w:ascii="Times New Roman" w:hAnsi="Times New Roman"/>
                <w:sz w:val="24"/>
                <w:szCs w:val="24"/>
                <w:lang w:val="lv-LV"/>
              </w:rPr>
              <w:t>datēti līdz 1899. g.</w:t>
            </w:r>
            <w:r w:rsidRPr="00F62E9B">
              <w:rPr>
                <w:rStyle w:val="Vresatsauce"/>
                <w:rFonts w:ascii="Times New Roman" w:hAnsi="Times New Roman"/>
                <w:sz w:val="24"/>
                <w:szCs w:val="24"/>
                <w:lang w:val="lv-LV"/>
              </w:rPr>
              <w:t xml:space="preserve"> </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priekšmets</w:t>
            </w:r>
          </w:p>
        </w:tc>
        <w:tc>
          <w:tcPr>
            <w:tcW w:w="1276" w:type="dxa"/>
          </w:tcPr>
          <w:p w:rsidR="00046F7A" w:rsidRPr="00F62E9B" w:rsidRDefault="00046F7A" w:rsidP="00ED48F7">
            <w:pPr>
              <w:jc w:val="center"/>
              <w:rPr>
                <w:rFonts w:ascii="Times New Roman" w:hAnsi="Times New Roman"/>
                <w:sz w:val="24"/>
                <w:szCs w:val="24"/>
                <w:lang w:val="lv-LV"/>
              </w:rPr>
            </w:pPr>
          </w:p>
          <w:p w:rsidR="00046F7A" w:rsidRPr="00F62E9B" w:rsidRDefault="00046F7A" w:rsidP="00ED48F7">
            <w:pPr>
              <w:jc w:val="center"/>
              <w:rPr>
                <w:rFonts w:ascii="Times New Roman" w:hAnsi="Times New Roman"/>
                <w:sz w:val="24"/>
                <w:szCs w:val="24"/>
                <w:lang w:val="lv-LV"/>
              </w:rPr>
            </w:pPr>
          </w:p>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20,00</w:t>
            </w:r>
          </w:p>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50,00</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3.3.</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Krājuma priekšmeta digitālā attēla izmantošana</w:t>
            </w:r>
            <w:r w:rsidRPr="00F62E9B">
              <w:rPr>
                <w:rStyle w:val="Vresatsauce"/>
                <w:rFonts w:ascii="Times New Roman" w:hAnsi="Times New Roman"/>
                <w:sz w:val="24"/>
                <w:szCs w:val="24"/>
                <w:lang w:val="lv-LV"/>
              </w:rPr>
              <w:footnoteReference w:id="3"/>
            </w:r>
            <w:r w:rsidRPr="00F62E9B">
              <w:rPr>
                <w:rFonts w:ascii="Times New Roman" w:hAnsi="Times New Roman"/>
                <w:sz w:val="24"/>
                <w:szCs w:val="24"/>
                <w:lang w:val="lv-LV"/>
              </w:rPr>
              <w:t>:</w:t>
            </w:r>
          </w:p>
          <w:p w:rsidR="00046F7A" w:rsidRPr="00F62E9B" w:rsidRDefault="00046F7A" w:rsidP="00046F7A">
            <w:pPr>
              <w:pStyle w:val="Sarakstarindkopa"/>
              <w:numPr>
                <w:ilvl w:val="0"/>
                <w:numId w:val="1"/>
              </w:numPr>
              <w:jc w:val="both"/>
              <w:rPr>
                <w:rFonts w:ascii="Times New Roman" w:hAnsi="Times New Roman"/>
                <w:sz w:val="24"/>
                <w:szCs w:val="24"/>
                <w:lang w:val="lv-LV"/>
              </w:rPr>
            </w:pPr>
            <w:r w:rsidRPr="00F62E9B">
              <w:rPr>
                <w:rFonts w:ascii="Times New Roman" w:hAnsi="Times New Roman"/>
                <w:sz w:val="24"/>
                <w:szCs w:val="24"/>
                <w:lang w:val="lv-LV"/>
              </w:rPr>
              <w:t>nekomerciāliem mērķiem</w:t>
            </w:r>
          </w:p>
          <w:p w:rsidR="00046F7A" w:rsidRPr="00F62E9B" w:rsidRDefault="00046F7A" w:rsidP="00046F7A">
            <w:pPr>
              <w:pStyle w:val="Sarakstarindkopa"/>
              <w:numPr>
                <w:ilvl w:val="0"/>
                <w:numId w:val="1"/>
              </w:numPr>
              <w:jc w:val="both"/>
              <w:rPr>
                <w:rFonts w:ascii="Times New Roman" w:hAnsi="Times New Roman"/>
                <w:sz w:val="24"/>
                <w:szCs w:val="24"/>
                <w:lang w:val="lv-LV"/>
              </w:rPr>
            </w:pPr>
            <w:r w:rsidRPr="00F62E9B">
              <w:rPr>
                <w:rFonts w:ascii="Times New Roman" w:hAnsi="Times New Roman"/>
                <w:sz w:val="24"/>
                <w:szCs w:val="24"/>
                <w:lang w:val="lv-LV"/>
              </w:rPr>
              <w:t>komerciāliem mērķiem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priekšmets</w:t>
            </w:r>
          </w:p>
        </w:tc>
        <w:tc>
          <w:tcPr>
            <w:tcW w:w="1276" w:type="dxa"/>
          </w:tcPr>
          <w:p w:rsidR="00046F7A" w:rsidRPr="00F62E9B" w:rsidRDefault="00046F7A" w:rsidP="00ED48F7">
            <w:pPr>
              <w:jc w:val="center"/>
              <w:rPr>
                <w:rFonts w:ascii="Times New Roman" w:hAnsi="Times New Roman"/>
                <w:sz w:val="24"/>
                <w:szCs w:val="24"/>
                <w:lang w:val="lv-LV"/>
              </w:rPr>
            </w:pPr>
          </w:p>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2,00</w:t>
            </w:r>
          </w:p>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6,00</w:t>
            </w:r>
          </w:p>
        </w:tc>
      </w:tr>
      <w:tr w:rsidR="00046F7A" w:rsidRPr="00F62E9B" w:rsidTr="00ED48F7">
        <w:tc>
          <w:tcPr>
            <w:tcW w:w="890"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4.</w:t>
            </w:r>
          </w:p>
        </w:tc>
        <w:tc>
          <w:tcPr>
            <w:tcW w:w="5768" w:type="dxa"/>
          </w:tcPr>
          <w:p w:rsidR="00046F7A" w:rsidRPr="00F62E9B" w:rsidRDefault="00046F7A" w:rsidP="00ED48F7">
            <w:pPr>
              <w:jc w:val="both"/>
              <w:rPr>
                <w:rFonts w:ascii="Times New Roman" w:hAnsi="Times New Roman"/>
                <w:b/>
                <w:sz w:val="24"/>
                <w:szCs w:val="24"/>
                <w:lang w:val="lv-LV"/>
              </w:rPr>
            </w:pPr>
            <w:r w:rsidRPr="00F62E9B">
              <w:rPr>
                <w:rFonts w:ascii="Times New Roman" w:hAnsi="Times New Roman"/>
                <w:b/>
                <w:sz w:val="24"/>
                <w:szCs w:val="24"/>
                <w:lang w:val="lv-LV"/>
              </w:rPr>
              <w:t>Kopiju izgatavošana</w:t>
            </w:r>
            <w:r w:rsidRPr="00F62E9B">
              <w:rPr>
                <w:rFonts w:ascii="Times New Roman" w:hAnsi="Times New Roman"/>
                <w:color w:val="212529"/>
                <w:sz w:val="24"/>
                <w:szCs w:val="24"/>
                <w:shd w:val="clear" w:color="auto" w:fill="FEF2E1"/>
                <w:lang w:val="lv-LV"/>
              </w:rPr>
              <w:t xml:space="preserve"> </w:t>
            </w:r>
          </w:p>
        </w:tc>
        <w:tc>
          <w:tcPr>
            <w:tcW w:w="1559" w:type="dxa"/>
          </w:tcPr>
          <w:p w:rsidR="00046F7A" w:rsidRPr="00F62E9B" w:rsidRDefault="00046F7A" w:rsidP="00ED48F7">
            <w:pPr>
              <w:jc w:val="center"/>
              <w:rPr>
                <w:rFonts w:ascii="Times New Roman" w:hAnsi="Times New Roman"/>
                <w:sz w:val="24"/>
                <w:szCs w:val="24"/>
                <w:lang w:val="lv-LV"/>
              </w:rPr>
            </w:pPr>
          </w:p>
        </w:tc>
        <w:tc>
          <w:tcPr>
            <w:tcW w:w="1276" w:type="dxa"/>
          </w:tcPr>
          <w:p w:rsidR="00046F7A" w:rsidRPr="00F62E9B" w:rsidRDefault="00046F7A" w:rsidP="00ED48F7">
            <w:pPr>
              <w:jc w:val="center"/>
              <w:rPr>
                <w:rFonts w:ascii="Times New Roman" w:hAnsi="Times New Roman"/>
                <w:sz w:val="24"/>
                <w:szCs w:val="24"/>
                <w:lang w:val="lv-LV"/>
              </w:rPr>
            </w:pP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lastRenderedPageBreak/>
              <w:t>4.1.</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A4 formāta melnbaltas kopijas vai izdrukas izgatavošana no muzeja zinātniskā arhīva un krājuma materiāliem (melnbalta)</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vienība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0,15</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4.2.</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 xml:space="preserve">A3 formāta melnbaltas kopijas vai izdrukas  izgatavošana no muzeja zinātniskā arhīva un krājuma materiāliem </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vienība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0,30</w:t>
            </w:r>
          </w:p>
        </w:tc>
      </w:tr>
      <w:tr w:rsidR="00046F7A" w:rsidRPr="00F62E9B" w:rsidTr="00ED48F7">
        <w:tc>
          <w:tcPr>
            <w:tcW w:w="890" w:type="dxa"/>
          </w:tcPr>
          <w:p w:rsidR="00046F7A" w:rsidRPr="00F62E9B" w:rsidRDefault="00046F7A" w:rsidP="00ED48F7">
            <w:pPr>
              <w:jc w:val="both"/>
              <w:rPr>
                <w:rFonts w:ascii="Times New Roman" w:hAnsi="Times New Roman"/>
                <w:b/>
                <w:bCs/>
                <w:sz w:val="24"/>
                <w:szCs w:val="24"/>
                <w:lang w:val="lv-LV"/>
              </w:rPr>
            </w:pPr>
            <w:r w:rsidRPr="00F62E9B">
              <w:rPr>
                <w:rFonts w:ascii="Times New Roman" w:hAnsi="Times New Roman"/>
                <w:b/>
                <w:bCs/>
                <w:sz w:val="24"/>
                <w:szCs w:val="24"/>
                <w:lang w:val="lv-LV"/>
              </w:rPr>
              <w:t>5. </w:t>
            </w:r>
          </w:p>
        </w:tc>
        <w:tc>
          <w:tcPr>
            <w:tcW w:w="5768" w:type="dxa"/>
          </w:tcPr>
          <w:p w:rsidR="00046F7A" w:rsidRPr="00F62E9B" w:rsidRDefault="00046F7A" w:rsidP="00ED48F7">
            <w:pPr>
              <w:jc w:val="both"/>
              <w:rPr>
                <w:rFonts w:ascii="Times New Roman" w:hAnsi="Times New Roman"/>
                <w:b/>
                <w:bCs/>
                <w:sz w:val="24"/>
                <w:szCs w:val="24"/>
                <w:lang w:val="lv-LV"/>
              </w:rPr>
            </w:pPr>
            <w:r w:rsidRPr="00F62E9B">
              <w:rPr>
                <w:rFonts w:ascii="Times New Roman" w:hAnsi="Times New Roman"/>
                <w:b/>
                <w:bCs/>
                <w:sz w:val="24"/>
                <w:szCs w:val="24"/>
                <w:lang w:val="lv-LV"/>
              </w:rPr>
              <w:t>Suvenīru tirdzniecība</w:t>
            </w:r>
          </w:p>
        </w:tc>
        <w:tc>
          <w:tcPr>
            <w:tcW w:w="1559" w:type="dxa"/>
          </w:tcPr>
          <w:p w:rsidR="00046F7A" w:rsidRPr="00F62E9B" w:rsidRDefault="00046F7A" w:rsidP="00ED48F7">
            <w:pPr>
              <w:rPr>
                <w:rFonts w:ascii="Times New Roman" w:hAnsi="Times New Roman"/>
                <w:b/>
                <w:bCs/>
                <w:sz w:val="24"/>
                <w:szCs w:val="24"/>
                <w:lang w:val="lv-LV"/>
              </w:rPr>
            </w:pPr>
          </w:p>
        </w:tc>
        <w:tc>
          <w:tcPr>
            <w:tcW w:w="1276" w:type="dxa"/>
          </w:tcPr>
          <w:p w:rsidR="00046F7A" w:rsidRPr="00F62E9B" w:rsidRDefault="00046F7A" w:rsidP="00ED48F7">
            <w:pPr>
              <w:jc w:val="center"/>
              <w:rPr>
                <w:rFonts w:ascii="Times New Roman" w:hAnsi="Times New Roman"/>
                <w:b/>
                <w:bCs/>
                <w:sz w:val="24"/>
                <w:szCs w:val="24"/>
                <w:lang w:val="lv-LV"/>
              </w:rPr>
            </w:pPr>
            <w:r w:rsidRPr="00F62E9B">
              <w:rPr>
                <w:rFonts w:ascii="Times New Roman" w:hAnsi="Times New Roman"/>
                <w:sz w:val="24"/>
                <w:szCs w:val="24"/>
                <w:lang w:val="lv-LV"/>
              </w:rPr>
              <w:t>Cena ar PVN</w:t>
            </w:r>
            <w:r w:rsidRPr="00F62E9B">
              <w:rPr>
                <w:rFonts w:ascii="Times New Roman" w:hAnsi="Times New Roman"/>
                <w:i/>
                <w:sz w:val="24"/>
                <w:szCs w:val="24"/>
                <w:lang w:val="lv-LV"/>
              </w:rPr>
              <w:t xml:space="preserve"> (</w:t>
            </w:r>
            <w:proofErr w:type="spellStart"/>
            <w:r w:rsidRPr="00F62E9B">
              <w:rPr>
                <w:rFonts w:ascii="Times New Roman" w:hAnsi="Times New Roman"/>
                <w:i/>
                <w:sz w:val="24"/>
                <w:szCs w:val="24"/>
                <w:lang w:val="lv-LV"/>
              </w:rPr>
              <w:t>euro</w:t>
            </w:r>
            <w:proofErr w:type="spellEnd"/>
            <w:r w:rsidRPr="00F62E9B">
              <w:rPr>
                <w:rFonts w:ascii="Times New Roman" w:hAnsi="Times New Roman"/>
                <w:i/>
                <w:sz w:val="24"/>
                <w:szCs w:val="24"/>
                <w:lang w:val="lv-LV"/>
              </w:rPr>
              <w:t>)</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5.1. </w:t>
            </w:r>
          </w:p>
        </w:tc>
        <w:tc>
          <w:tcPr>
            <w:tcW w:w="5768" w:type="dxa"/>
          </w:tcPr>
          <w:p w:rsidR="00046F7A" w:rsidRPr="007C70BE" w:rsidRDefault="00046F7A" w:rsidP="00ED48F7">
            <w:pPr>
              <w:jc w:val="both"/>
              <w:rPr>
                <w:rFonts w:ascii="Times New Roman" w:hAnsi="Times New Roman"/>
                <w:sz w:val="24"/>
                <w:szCs w:val="24"/>
                <w:highlight w:val="yellow"/>
                <w:lang w:val="lv-LV"/>
              </w:rPr>
            </w:pPr>
            <w:r w:rsidRPr="0039614C">
              <w:rPr>
                <w:rFonts w:ascii="Times New Roman" w:hAnsi="Times New Roman"/>
                <w:sz w:val="24"/>
                <w:szCs w:val="24"/>
                <w:lang w:val="lv-LV"/>
              </w:rPr>
              <w:t>Latviešu leģionāru vairodziņš ar uzrakstu “Latvija” (auduma)</w:t>
            </w:r>
          </w:p>
        </w:tc>
        <w:tc>
          <w:tcPr>
            <w:tcW w:w="1559"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1 vienība</w:t>
            </w:r>
          </w:p>
        </w:tc>
        <w:tc>
          <w:tcPr>
            <w:tcW w:w="1276"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2,78</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5.2. </w:t>
            </w:r>
          </w:p>
        </w:tc>
        <w:tc>
          <w:tcPr>
            <w:tcW w:w="5768" w:type="dxa"/>
          </w:tcPr>
          <w:p w:rsidR="00046F7A" w:rsidRPr="007C70BE" w:rsidRDefault="00046F7A" w:rsidP="00ED48F7">
            <w:pPr>
              <w:jc w:val="both"/>
              <w:rPr>
                <w:rFonts w:ascii="Times New Roman" w:hAnsi="Times New Roman"/>
                <w:sz w:val="24"/>
                <w:szCs w:val="24"/>
                <w:highlight w:val="yellow"/>
                <w:lang w:val="lv-LV"/>
              </w:rPr>
            </w:pPr>
            <w:r w:rsidRPr="0039614C">
              <w:rPr>
                <w:rFonts w:ascii="Times New Roman" w:hAnsi="Times New Roman"/>
                <w:sz w:val="24"/>
                <w:szCs w:val="24"/>
                <w:lang w:val="lv-LV"/>
              </w:rPr>
              <w:t>Latviešu leģionāru vairodziņš ar uzrakstu “Latvija” (nozīmīte)</w:t>
            </w:r>
          </w:p>
        </w:tc>
        <w:tc>
          <w:tcPr>
            <w:tcW w:w="1559"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1 vienība</w:t>
            </w:r>
          </w:p>
        </w:tc>
        <w:tc>
          <w:tcPr>
            <w:tcW w:w="1276" w:type="dxa"/>
          </w:tcPr>
          <w:p w:rsidR="00046F7A" w:rsidRPr="007C70BE" w:rsidRDefault="00046F7A" w:rsidP="00ED48F7">
            <w:pPr>
              <w:jc w:val="center"/>
              <w:rPr>
                <w:rFonts w:ascii="Times New Roman" w:hAnsi="Times New Roman"/>
                <w:sz w:val="24"/>
                <w:szCs w:val="24"/>
                <w:highlight w:val="yellow"/>
                <w:lang w:val="lv-LV"/>
              </w:rPr>
            </w:pPr>
            <w:r w:rsidRPr="0039614C">
              <w:rPr>
                <w:rFonts w:ascii="Times New Roman" w:hAnsi="Times New Roman"/>
                <w:sz w:val="24"/>
                <w:szCs w:val="24"/>
                <w:lang w:val="lv-LV"/>
              </w:rPr>
              <w:t>4,03</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5.3. </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 xml:space="preserve">Dekoratīvs šķīvis ar </w:t>
            </w:r>
            <w:proofErr w:type="spellStart"/>
            <w:r w:rsidRPr="00F62E9B">
              <w:rPr>
                <w:rFonts w:ascii="Times New Roman" w:hAnsi="Times New Roman"/>
                <w:sz w:val="24"/>
                <w:szCs w:val="24"/>
                <w:lang w:val="lv-LV"/>
              </w:rPr>
              <w:t>apdruku</w:t>
            </w:r>
            <w:proofErr w:type="spellEnd"/>
            <w:r w:rsidRPr="00F62E9B">
              <w:rPr>
                <w:rFonts w:ascii="Times New Roman" w:hAnsi="Times New Roman"/>
                <w:sz w:val="24"/>
                <w:szCs w:val="24"/>
                <w:lang w:val="lv-LV"/>
              </w:rPr>
              <w:t xml:space="preserve"> no abām pusēm, kas ietver Ogres novadam raksturīgu kultūrvēstures mantojuma daļas </w:t>
            </w:r>
            <w:proofErr w:type="spellStart"/>
            <w:r w:rsidRPr="00F62E9B">
              <w:rPr>
                <w:rFonts w:ascii="Times New Roman" w:hAnsi="Times New Roman"/>
                <w:sz w:val="24"/>
                <w:szCs w:val="24"/>
                <w:lang w:val="lv-LV"/>
              </w:rPr>
              <w:t>apdruku</w:t>
            </w:r>
            <w:proofErr w:type="spellEnd"/>
            <w:r w:rsidRPr="00F62E9B">
              <w:rPr>
                <w:rFonts w:ascii="Times New Roman" w:hAnsi="Times New Roman"/>
                <w:sz w:val="24"/>
                <w:szCs w:val="24"/>
                <w:lang w:val="lv-LV"/>
              </w:rPr>
              <w:t>, Ogres novada logo un saukli, diametrā 31 cm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vienība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19,12</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5.4.</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 xml:space="preserve">Dekoratīvs šķīvis ar </w:t>
            </w:r>
            <w:proofErr w:type="spellStart"/>
            <w:r w:rsidRPr="00F62E9B">
              <w:rPr>
                <w:rFonts w:ascii="Times New Roman" w:hAnsi="Times New Roman"/>
                <w:sz w:val="24"/>
                <w:szCs w:val="24"/>
                <w:lang w:val="lv-LV"/>
              </w:rPr>
              <w:t>apdruku</w:t>
            </w:r>
            <w:proofErr w:type="spellEnd"/>
            <w:r w:rsidRPr="00F62E9B">
              <w:rPr>
                <w:rFonts w:ascii="Times New Roman" w:hAnsi="Times New Roman"/>
                <w:sz w:val="24"/>
                <w:szCs w:val="24"/>
                <w:lang w:val="lv-LV"/>
              </w:rPr>
              <w:t xml:space="preserve"> no abām pusēm, kas ietver Ogres novadam raksturīgu kultūrvēstures mantojuma daļas </w:t>
            </w:r>
            <w:proofErr w:type="spellStart"/>
            <w:r w:rsidRPr="00F62E9B">
              <w:rPr>
                <w:rFonts w:ascii="Times New Roman" w:hAnsi="Times New Roman"/>
                <w:sz w:val="24"/>
                <w:szCs w:val="24"/>
                <w:lang w:val="lv-LV"/>
              </w:rPr>
              <w:t>apdruku</w:t>
            </w:r>
            <w:proofErr w:type="spellEnd"/>
            <w:r w:rsidRPr="00F62E9B">
              <w:rPr>
                <w:rFonts w:ascii="Times New Roman" w:hAnsi="Times New Roman"/>
                <w:sz w:val="24"/>
                <w:szCs w:val="24"/>
                <w:lang w:val="lv-LV"/>
              </w:rPr>
              <w:t>, Ogres novada logo un saukli, diametrā 24 cm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vienība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15,88</w:t>
            </w:r>
          </w:p>
        </w:tc>
      </w:tr>
      <w:tr w:rsidR="00046F7A" w:rsidRPr="00F62E9B" w:rsidTr="00ED48F7">
        <w:tc>
          <w:tcPr>
            <w:tcW w:w="890"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5.5.</w:t>
            </w:r>
          </w:p>
        </w:tc>
        <w:tc>
          <w:tcPr>
            <w:tcW w:w="5768" w:type="dxa"/>
          </w:tcPr>
          <w:p w:rsidR="00046F7A" w:rsidRPr="00F62E9B" w:rsidRDefault="00046F7A" w:rsidP="00ED48F7">
            <w:pPr>
              <w:jc w:val="both"/>
              <w:rPr>
                <w:rFonts w:ascii="Times New Roman" w:hAnsi="Times New Roman"/>
                <w:sz w:val="24"/>
                <w:szCs w:val="24"/>
                <w:lang w:val="lv-LV"/>
              </w:rPr>
            </w:pPr>
            <w:r w:rsidRPr="00F62E9B">
              <w:rPr>
                <w:rFonts w:ascii="Times New Roman" w:hAnsi="Times New Roman"/>
                <w:sz w:val="24"/>
                <w:szCs w:val="24"/>
                <w:lang w:val="lv-LV"/>
              </w:rPr>
              <w:t xml:space="preserve">Dekoratīvs šķīvis (magnēts) ar </w:t>
            </w:r>
            <w:proofErr w:type="spellStart"/>
            <w:r w:rsidRPr="00F62E9B">
              <w:rPr>
                <w:rFonts w:ascii="Times New Roman" w:hAnsi="Times New Roman"/>
                <w:sz w:val="24"/>
                <w:szCs w:val="24"/>
                <w:lang w:val="lv-LV"/>
              </w:rPr>
              <w:t>apdruku</w:t>
            </w:r>
            <w:proofErr w:type="spellEnd"/>
            <w:r w:rsidRPr="00F62E9B">
              <w:rPr>
                <w:rFonts w:ascii="Times New Roman" w:hAnsi="Times New Roman"/>
                <w:sz w:val="24"/>
                <w:szCs w:val="24"/>
                <w:lang w:val="lv-LV"/>
              </w:rPr>
              <w:t xml:space="preserve">, kas ietver Ogres novadam raksturīgu kultūrvēstures mantojuma daļas </w:t>
            </w:r>
            <w:proofErr w:type="spellStart"/>
            <w:r w:rsidRPr="00F62E9B">
              <w:rPr>
                <w:rFonts w:ascii="Times New Roman" w:hAnsi="Times New Roman"/>
                <w:sz w:val="24"/>
                <w:szCs w:val="24"/>
                <w:lang w:val="lv-LV"/>
              </w:rPr>
              <w:t>apdruk</w:t>
            </w:r>
            <w:proofErr w:type="spellEnd"/>
            <w:r w:rsidRPr="00F62E9B">
              <w:rPr>
                <w:rFonts w:ascii="Times New Roman" w:hAnsi="Times New Roman"/>
                <w:sz w:val="24"/>
                <w:szCs w:val="24"/>
                <w:lang w:val="lv-LV"/>
              </w:rPr>
              <w:t xml:space="preserve"> un var ietvert Ogres novada logo un saukli, diametrā 9 cm</w:t>
            </w:r>
          </w:p>
        </w:tc>
        <w:tc>
          <w:tcPr>
            <w:tcW w:w="1559"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1 vienība</w:t>
            </w:r>
          </w:p>
        </w:tc>
        <w:tc>
          <w:tcPr>
            <w:tcW w:w="1276" w:type="dxa"/>
          </w:tcPr>
          <w:p w:rsidR="00046F7A" w:rsidRPr="00F62E9B" w:rsidRDefault="00046F7A" w:rsidP="00ED48F7">
            <w:pPr>
              <w:jc w:val="center"/>
              <w:rPr>
                <w:rFonts w:ascii="Times New Roman" w:hAnsi="Times New Roman"/>
                <w:sz w:val="24"/>
                <w:szCs w:val="24"/>
                <w:lang w:val="lv-LV"/>
              </w:rPr>
            </w:pPr>
            <w:r w:rsidRPr="00F62E9B">
              <w:rPr>
                <w:rFonts w:ascii="Times New Roman" w:hAnsi="Times New Roman"/>
                <w:sz w:val="24"/>
                <w:szCs w:val="24"/>
                <w:lang w:val="lv-LV"/>
              </w:rPr>
              <w:t>7,60</w:t>
            </w:r>
          </w:p>
        </w:tc>
      </w:tr>
    </w:tbl>
    <w:p w:rsidR="00046F7A" w:rsidRPr="00F62E9B" w:rsidRDefault="00046F7A" w:rsidP="00046F7A">
      <w:pPr>
        <w:spacing w:line="240" w:lineRule="auto"/>
        <w:jc w:val="both"/>
        <w:rPr>
          <w:rFonts w:ascii="Times New Roman" w:hAnsi="Times New Roman"/>
          <w:sz w:val="24"/>
          <w:szCs w:val="24"/>
          <w:u w:val="single"/>
        </w:rPr>
      </w:pPr>
    </w:p>
    <w:p w:rsidR="00046F7A" w:rsidRPr="00F62E9B" w:rsidRDefault="00046F7A" w:rsidP="00046F7A">
      <w:pPr>
        <w:spacing w:line="240" w:lineRule="auto"/>
        <w:jc w:val="both"/>
        <w:rPr>
          <w:rFonts w:ascii="Times New Roman" w:hAnsi="Times New Roman"/>
          <w:sz w:val="24"/>
          <w:szCs w:val="24"/>
          <w:u w:val="single"/>
        </w:rPr>
      </w:pPr>
      <w:r w:rsidRPr="00F62E9B">
        <w:rPr>
          <w:rFonts w:ascii="Times New Roman" w:hAnsi="Times New Roman"/>
          <w:sz w:val="24"/>
          <w:szCs w:val="24"/>
          <w:u w:val="single"/>
        </w:rPr>
        <w:t>2. Par cenrāža 1. punktā minētajiem pakalpojumiem maksu par ieeju ekspozīcijās, izstādēs un pasākumos neiekasē no:</w:t>
      </w:r>
    </w:p>
    <w:p w:rsidR="00046F7A" w:rsidRPr="00F62E9B" w:rsidRDefault="00046F7A" w:rsidP="00046F7A">
      <w:pPr>
        <w:spacing w:line="240" w:lineRule="auto"/>
        <w:ind w:left="426" w:hanging="426"/>
        <w:jc w:val="both"/>
        <w:rPr>
          <w:rFonts w:ascii="Times New Roman" w:hAnsi="Times New Roman"/>
          <w:sz w:val="24"/>
          <w:szCs w:val="24"/>
        </w:rPr>
      </w:pPr>
      <w:r w:rsidRPr="00F62E9B">
        <w:rPr>
          <w:rFonts w:ascii="Times New Roman" w:hAnsi="Times New Roman"/>
          <w:sz w:val="24"/>
          <w:szCs w:val="24"/>
        </w:rPr>
        <w:t>2.1. Ogres novada iedzīvotājiem (uzrādot “Ogres novadnieka karti”) un politiski represētajām personām;</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2.2. Bērniem līdz 7.g.v.;</w:t>
      </w:r>
    </w:p>
    <w:p w:rsidR="00046F7A" w:rsidRPr="00F62E9B" w:rsidRDefault="00046F7A" w:rsidP="00046F7A">
      <w:pPr>
        <w:spacing w:line="240" w:lineRule="auto"/>
        <w:ind w:left="426" w:hanging="426"/>
        <w:jc w:val="both"/>
        <w:rPr>
          <w:rFonts w:ascii="Times New Roman" w:hAnsi="Times New Roman"/>
          <w:sz w:val="24"/>
          <w:szCs w:val="24"/>
        </w:rPr>
      </w:pPr>
      <w:r w:rsidRPr="00F62E9B">
        <w:rPr>
          <w:rFonts w:ascii="Times New Roman" w:hAnsi="Times New Roman"/>
          <w:sz w:val="24"/>
          <w:szCs w:val="24"/>
        </w:rPr>
        <w:t>2.3. Personām ar I un II grupas invaliditāti (uzrādot apliecību), personām ar I grupas invaliditāti pavadoņiem (uzrādot apliecību);</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2.4. Latvijas muzeju darbiniekiem (uzrādot apliecību);</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2.5. Starptautiskās muzeja padomes (ICOM) biedriem (uzrādot apliecību);</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2.6. Ekskursija muzejā Ogres novada skolēnu grupām;</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2.7. Latvijas Mākslinieku savienības biedriem (uzrādot apliecību);</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2.8. Apmeklētājiem izstāžu un ekspozīciju atklāšanā;</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2.9. Skolēnu grupas pavadošajām personām (ne vairāk kā divām);</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2.10. Tūristu grupas pavadošajam gidam, ja grupā ir vairāk nekā 20 cilvēki;</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2.11. Plašsaziņas līdzekļu pārstāvjiem, kas atspoguļo norises muzejā (uzrādot preses karti);</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2.12. Muzeja apmeklētājiem Starptautiskajā muzeju dienā – 18. maijā;</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2.13. Muzeja apmeklētājiem ikgadējās starptautiskās akcijas “Muzeju nakts” ietvaros.</w:t>
      </w:r>
    </w:p>
    <w:p w:rsidR="00046F7A" w:rsidRPr="00F62E9B" w:rsidRDefault="00046F7A" w:rsidP="00046F7A">
      <w:pPr>
        <w:spacing w:line="240" w:lineRule="auto"/>
        <w:ind w:left="567" w:hanging="567"/>
        <w:jc w:val="both"/>
        <w:rPr>
          <w:rFonts w:ascii="Times New Roman" w:hAnsi="Times New Roman"/>
          <w:sz w:val="24"/>
          <w:szCs w:val="24"/>
          <w:u w:val="single"/>
        </w:rPr>
      </w:pPr>
      <w:r w:rsidRPr="00F62E9B">
        <w:rPr>
          <w:rFonts w:ascii="Times New Roman" w:hAnsi="Times New Roman"/>
          <w:sz w:val="24"/>
          <w:szCs w:val="24"/>
        </w:rPr>
        <w:t>3. No cenrāža 1.1. un 1.2. apakšpunktā minētajiem pakalpojumiem ir atbrīvoti Ukrainas iedzīvotāji, uzrādot personu apliecinošu dokumentu vai citu dokumentu, apliecina, ka persona ir Ukrainas civiliedzīvotājs.</w:t>
      </w:r>
    </w:p>
    <w:p w:rsidR="00046F7A" w:rsidRPr="00F62E9B" w:rsidRDefault="00046F7A" w:rsidP="00046F7A">
      <w:pPr>
        <w:spacing w:line="240" w:lineRule="auto"/>
        <w:ind w:left="426" w:hanging="426"/>
        <w:jc w:val="both"/>
        <w:rPr>
          <w:rFonts w:ascii="Times New Roman" w:hAnsi="Times New Roman"/>
          <w:sz w:val="24"/>
          <w:szCs w:val="24"/>
        </w:rPr>
      </w:pPr>
      <w:r w:rsidRPr="00F62E9B">
        <w:rPr>
          <w:rFonts w:ascii="Times New Roman" w:hAnsi="Times New Roman"/>
          <w:sz w:val="24"/>
          <w:szCs w:val="24"/>
        </w:rPr>
        <w:lastRenderedPageBreak/>
        <w:t>4. Iepazīšanās ar krājuma priekšmetiem pētniecības nolūkos ir bez maksas, norādot izmantošanas mērķi un saņemot atļauju no muzeja vadītāja.</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5. Digitālu attēlu nosūtīšana elektroniski notiek tikai pēc priekšapmaksas vai savstarpēji vienojoties.</w:t>
      </w:r>
    </w:p>
    <w:p w:rsidR="00046F7A" w:rsidRPr="00F62E9B" w:rsidRDefault="00046F7A" w:rsidP="00046F7A">
      <w:pPr>
        <w:spacing w:line="240" w:lineRule="auto"/>
        <w:ind w:left="426" w:hanging="426"/>
        <w:jc w:val="both"/>
        <w:rPr>
          <w:rFonts w:ascii="Times New Roman" w:hAnsi="Times New Roman"/>
          <w:sz w:val="24"/>
          <w:szCs w:val="24"/>
        </w:rPr>
      </w:pPr>
      <w:r w:rsidRPr="00F62E9B">
        <w:rPr>
          <w:rFonts w:ascii="Times New Roman" w:hAnsi="Times New Roman"/>
          <w:sz w:val="24"/>
          <w:szCs w:val="24"/>
        </w:rPr>
        <w:t>6. Latvijā akreditētiem muzejiem, Ogres novada pašvaldības iestādēm krājuma pakalpojumi, kas noteikti cenrāža 3. punktā, ir bez maksas.</w:t>
      </w:r>
    </w:p>
    <w:p w:rsidR="00046F7A" w:rsidRPr="00F62E9B" w:rsidRDefault="00046F7A" w:rsidP="00046F7A">
      <w:pPr>
        <w:spacing w:line="240" w:lineRule="auto"/>
        <w:ind w:left="426" w:hanging="426"/>
        <w:jc w:val="both"/>
        <w:rPr>
          <w:rFonts w:ascii="Times New Roman" w:hAnsi="Times New Roman"/>
          <w:sz w:val="24"/>
          <w:szCs w:val="24"/>
        </w:rPr>
      </w:pPr>
      <w:r w:rsidRPr="00F62E9B">
        <w:rPr>
          <w:rFonts w:ascii="Times New Roman" w:hAnsi="Times New Roman"/>
          <w:sz w:val="24"/>
          <w:szCs w:val="24"/>
        </w:rPr>
        <w:t>7. Muzejs ir tiesīgs noteikt ieejas maksu izstādē vai pasākumā, kas tiek organizēti, piesaistot projekta finansējumu vai slēdzot līgumu ar sadarbības partneri vai mākslinieku, atbilstoši izmaksām.</w:t>
      </w: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8. Muzejs ir tiesīgs nenoteikt ieejas maksu sociāli nozīmīgos muzeja pasākumos.</w:t>
      </w:r>
    </w:p>
    <w:p w:rsidR="00046F7A" w:rsidRPr="00F62E9B" w:rsidRDefault="00046F7A" w:rsidP="00046F7A">
      <w:pPr>
        <w:spacing w:line="240" w:lineRule="auto"/>
        <w:jc w:val="both"/>
        <w:rPr>
          <w:rFonts w:ascii="Times New Roman" w:hAnsi="Times New Roman"/>
          <w:sz w:val="24"/>
          <w:szCs w:val="24"/>
        </w:rPr>
      </w:pPr>
    </w:p>
    <w:p w:rsidR="00046F7A" w:rsidRPr="00F62E9B" w:rsidRDefault="00046F7A" w:rsidP="00046F7A">
      <w:pPr>
        <w:spacing w:line="240" w:lineRule="auto"/>
        <w:jc w:val="both"/>
        <w:rPr>
          <w:rFonts w:ascii="Times New Roman" w:hAnsi="Times New Roman"/>
          <w:sz w:val="24"/>
          <w:szCs w:val="24"/>
        </w:rPr>
      </w:pPr>
      <w:r w:rsidRPr="00F62E9B">
        <w:rPr>
          <w:rFonts w:ascii="Times New Roman" w:hAnsi="Times New Roman"/>
          <w:sz w:val="24"/>
          <w:szCs w:val="24"/>
        </w:rPr>
        <w:t xml:space="preserve"> Domes priekšsēdētājs                                                                                                     E. </w:t>
      </w:r>
      <w:proofErr w:type="spellStart"/>
      <w:r w:rsidRPr="00F62E9B">
        <w:rPr>
          <w:rFonts w:ascii="Times New Roman" w:hAnsi="Times New Roman"/>
          <w:sz w:val="24"/>
          <w:szCs w:val="24"/>
        </w:rPr>
        <w:t>Helmanis</w:t>
      </w:r>
      <w:proofErr w:type="spellEnd"/>
    </w:p>
    <w:p w:rsidR="00046F7A" w:rsidRPr="00F62E9B" w:rsidRDefault="00046F7A" w:rsidP="00046F7A">
      <w:pPr>
        <w:spacing w:after="0" w:line="240" w:lineRule="auto"/>
      </w:pPr>
    </w:p>
    <w:p w:rsidR="007F1957" w:rsidRDefault="005E67EF">
      <w:bookmarkStart w:id="0" w:name="_GoBack"/>
      <w:bookmarkEnd w:id="0"/>
    </w:p>
    <w:sectPr w:rsidR="007F1957" w:rsidSect="00432CED">
      <w:pgSz w:w="11906" w:h="16838" w:code="9"/>
      <w:pgMar w:top="896" w:right="707" w:bottom="993" w:left="1418" w:header="720" w:footer="720" w:gutter="0"/>
      <w:cols w:space="720" w:equalWidth="0">
        <w:col w:w="9781"/>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EF" w:rsidRDefault="005E67EF" w:rsidP="00046F7A">
      <w:pPr>
        <w:spacing w:after="0" w:line="240" w:lineRule="auto"/>
      </w:pPr>
      <w:r>
        <w:separator/>
      </w:r>
    </w:p>
  </w:endnote>
  <w:endnote w:type="continuationSeparator" w:id="0">
    <w:p w:rsidR="005E67EF" w:rsidRDefault="005E67EF" w:rsidP="0004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EF" w:rsidRDefault="005E67EF" w:rsidP="00046F7A">
      <w:pPr>
        <w:spacing w:after="0" w:line="240" w:lineRule="auto"/>
      </w:pPr>
      <w:r>
        <w:separator/>
      </w:r>
    </w:p>
  </w:footnote>
  <w:footnote w:type="continuationSeparator" w:id="0">
    <w:p w:rsidR="005E67EF" w:rsidRDefault="005E67EF" w:rsidP="00046F7A">
      <w:pPr>
        <w:spacing w:after="0" w:line="240" w:lineRule="auto"/>
      </w:pPr>
      <w:r>
        <w:continuationSeparator/>
      </w:r>
    </w:p>
  </w:footnote>
  <w:footnote w:id="1">
    <w:p w:rsidR="00046F7A" w:rsidRPr="003E731D" w:rsidRDefault="00046F7A" w:rsidP="00046F7A">
      <w:pPr>
        <w:pStyle w:val="Vresteksts"/>
        <w:rPr>
          <w:rFonts w:ascii="Times New Roman" w:hAnsi="Times New Roman"/>
          <w:sz w:val="16"/>
          <w:szCs w:val="16"/>
        </w:rPr>
      </w:pPr>
      <w:r w:rsidRPr="003E731D">
        <w:rPr>
          <w:rStyle w:val="Vresatsauce"/>
          <w:rFonts w:ascii="Times New Roman" w:hAnsi="Times New Roman"/>
          <w:sz w:val="16"/>
          <w:szCs w:val="16"/>
        </w:rPr>
        <w:footnoteRef/>
      </w:r>
      <w:r w:rsidRPr="003E731D">
        <w:rPr>
          <w:rFonts w:ascii="Times New Roman" w:hAnsi="Times New Roman"/>
          <w:sz w:val="16"/>
          <w:szCs w:val="16"/>
        </w:rPr>
        <w:t xml:space="preserve"> Pakalpojumiem pievienotās vērtības nodoklis netiek piemērots saskaņā ar </w:t>
      </w:r>
      <w:r w:rsidRPr="003E731D">
        <w:rPr>
          <w:rFonts w:ascii="Times New Roman" w:hAnsi="Times New Roman"/>
          <w:i/>
          <w:sz w:val="16"/>
          <w:szCs w:val="16"/>
        </w:rPr>
        <w:t>Pievienotās vērtības nodokļa likuma 52. panta 1. daļas 17. punkta “d” apakšpunktu.</w:t>
      </w:r>
    </w:p>
  </w:footnote>
  <w:footnote w:id="2">
    <w:p w:rsidR="00046F7A" w:rsidRPr="003E731D" w:rsidRDefault="00046F7A" w:rsidP="00046F7A">
      <w:pPr>
        <w:pStyle w:val="Vresteksts"/>
        <w:rPr>
          <w:rFonts w:ascii="Times New Roman" w:hAnsi="Times New Roman"/>
          <w:sz w:val="16"/>
          <w:szCs w:val="16"/>
        </w:rPr>
      </w:pPr>
      <w:r w:rsidRPr="003E731D">
        <w:rPr>
          <w:rStyle w:val="Vresatsauce"/>
          <w:rFonts w:ascii="Times New Roman" w:hAnsi="Times New Roman"/>
          <w:sz w:val="16"/>
          <w:szCs w:val="16"/>
        </w:rPr>
        <w:footnoteRef/>
      </w:r>
      <w:r w:rsidRPr="003E731D">
        <w:rPr>
          <w:rFonts w:ascii="Times New Roman" w:hAnsi="Times New Roman"/>
          <w:sz w:val="16"/>
          <w:szCs w:val="16"/>
        </w:rPr>
        <w:t xml:space="preserve"> </w:t>
      </w:r>
      <w:r w:rsidRPr="003E731D">
        <w:rPr>
          <w:rFonts w:ascii="Times New Roman" w:hAnsi="Times New Roman"/>
          <w:sz w:val="16"/>
          <w:szCs w:val="16"/>
        </w:rPr>
        <w:t>Apliecība ‘</w:t>
      </w:r>
      <w:r w:rsidRPr="003E731D">
        <w:rPr>
          <w:rFonts w:ascii="Times New Roman" w:hAnsi="Times New Roman"/>
          <w:b/>
          <w:bCs/>
          <w:sz w:val="16"/>
          <w:szCs w:val="16"/>
        </w:rPr>
        <w:t>’Goda ģimene’’</w:t>
      </w:r>
      <w:r w:rsidRPr="003E731D">
        <w:rPr>
          <w:rFonts w:ascii="Times New Roman" w:hAnsi="Times New Roman"/>
          <w:sz w:val="16"/>
          <w:szCs w:val="16"/>
        </w:rPr>
        <w:t xml:space="preserve"> ir valsts veidota un ar Sabiedrības integrācijas fondu īstenota atbalsta programma </w:t>
      </w:r>
      <w:proofErr w:type="spellStart"/>
      <w:r w:rsidRPr="003E731D">
        <w:rPr>
          <w:rFonts w:ascii="Times New Roman" w:hAnsi="Times New Roman"/>
          <w:sz w:val="16"/>
          <w:szCs w:val="16"/>
        </w:rPr>
        <w:t>daudzbērnu</w:t>
      </w:r>
      <w:proofErr w:type="spellEnd"/>
      <w:r w:rsidRPr="003E731D">
        <w:rPr>
          <w:rFonts w:ascii="Times New Roman" w:hAnsi="Times New Roman"/>
          <w:sz w:val="16"/>
          <w:szCs w:val="16"/>
        </w:rPr>
        <w:t xml:space="preserve"> ģimenēm, kuras aprūpē ir trīs un vairāk bērni vecumā līdz 18 gadiem, kā arī pilngadīgas personas, kuras nav sasniegušas 24 gadu vecumu, ja tās iegūst vispārējo, profesionālo vai augstāko izglītību vai 11 mēnešus pilda valsts aizsardzības dienestu un ģimenēm, kuras aprūpē bērnu ar invaliditāti vai pilngadīgu personu, kura nav sasniegusi 24 gadu vecumu un kurai noteikta I vai II grupas invaliditāte.</w:t>
      </w:r>
    </w:p>
  </w:footnote>
  <w:footnote w:id="3">
    <w:p w:rsidR="00046F7A" w:rsidRPr="00F21CF5" w:rsidRDefault="00046F7A" w:rsidP="00046F7A">
      <w:pPr>
        <w:pStyle w:val="Vresteksts"/>
        <w:rPr>
          <w:sz w:val="18"/>
          <w:szCs w:val="18"/>
        </w:rPr>
      </w:pPr>
      <w:r w:rsidRPr="003E731D">
        <w:rPr>
          <w:rStyle w:val="Vresatsauce"/>
          <w:rFonts w:ascii="Times New Roman" w:hAnsi="Times New Roman"/>
          <w:sz w:val="16"/>
          <w:szCs w:val="16"/>
        </w:rPr>
        <w:footnoteRef/>
      </w:r>
      <w:r w:rsidRPr="003E731D">
        <w:rPr>
          <w:rFonts w:ascii="Times New Roman" w:hAnsi="Times New Roman"/>
          <w:sz w:val="16"/>
          <w:szCs w:val="16"/>
        </w:rPr>
        <w:t xml:space="preserve"> </w:t>
      </w:r>
      <w:r w:rsidRPr="003E731D">
        <w:rPr>
          <w:rFonts w:ascii="Times New Roman" w:hAnsi="Times New Roman"/>
          <w:sz w:val="16"/>
          <w:szCs w:val="16"/>
        </w:rPr>
        <w:t>Pasūtītājs saskaņā ar līgumu uzņemas pilnu atbildību par Latvijas Autortiesību likuma normu ievērošanu datu publiskošanas gadījumā.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F6D7F"/>
    <w:multiLevelType w:val="hybridMultilevel"/>
    <w:tmpl w:val="DA5A59C6"/>
    <w:lvl w:ilvl="0" w:tplc="937447EE">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A"/>
    <w:rsid w:val="00046F7A"/>
    <w:rsid w:val="0059513C"/>
    <w:rsid w:val="005E67EF"/>
    <w:rsid w:val="009617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EC8C3-3C57-48FA-8874-13AED03E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6F7A"/>
    <w:rPr>
      <w:rFonts w:ascii="Calibri" w:eastAsia="Times New Roman"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
    <w:basedOn w:val="Parasts"/>
    <w:link w:val="SarakstarindkopaRakstz"/>
    <w:uiPriority w:val="34"/>
    <w:qFormat/>
    <w:rsid w:val="00046F7A"/>
    <w:pPr>
      <w:ind w:left="720"/>
      <w:contextualSpacing/>
    </w:pPr>
  </w:style>
  <w:style w:type="table" w:styleId="Reatabula">
    <w:name w:val="Table Grid"/>
    <w:basedOn w:val="Parastatabula"/>
    <w:uiPriority w:val="39"/>
    <w:rsid w:val="00046F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
    <w:link w:val="Sarakstarindkopa"/>
    <w:uiPriority w:val="34"/>
    <w:locked/>
    <w:rsid w:val="00046F7A"/>
    <w:rPr>
      <w:rFonts w:ascii="Calibri" w:eastAsia="Times New Roman" w:hAnsi="Calibri" w:cs="Times New Roman"/>
      <w:lang w:eastAsia="lv-LV"/>
    </w:rPr>
  </w:style>
  <w:style w:type="paragraph" w:styleId="Vresteksts">
    <w:name w:val="footnote text"/>
    <w:basedOn w:val="Parasts"/>
    <w:link w:val="VrestekstsRakstz"/>
    <w:uiPriority w:val="99"/>
    <w:semiHidden/>
    <w:unhideWhenUsed/>
    <w:rsid w:val="00046F7A"/>
    <w:pPr>
      <w:spacing w:after="0" w:line="240" w:lineRule="auto"/>
    </w:pPr>
    <w:rPr>
      <w:rFonts w:eastAsiaTheme="minorHAnsi"/>
      <w:sz w:val="20"/>
      <w:szCs w:val="20"/>
      <w:lang w:eastAsia="en-US"/>
    </w:rPr>
  </w:style>
  <w:style w:type="character" w:customStyle="1" w:styleId="VrestekstsRakstz">
    <w:name w:val="Vēres teksts Rakstz."/>
    <w:basedOn w:val="Noklusjumarindkopasfonts"/>
    <w:link w:val="Vresteksts"/>
    <w:uiPriority w:val="99"/>
    <w:semiHidden/>
    <w:rsid w:val="00046F7A"/>
    <w:rPr>
      <w:rFonts w:ascii="Calibri" w:hAnsi="Calibri" w:cs="Times New Roman"/>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uiPriority w:val="99"/>
    <w:semiHidden/>
    <w:unhideWhenUsed/>
    <w:rsid w:val="00046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3275</Words>
  <Characters>1868</Characters>
  <Application>Microsoft Office Word</Application>
  <DocSecurity>0</DocSecurity>
  <Lines>15</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Lietotājs</cp:lastModifiedBy>
  <cp:revision>1</cp:revision>
  <dcterms:created xsi:type="dcterms:W3CDTF">2025-05-21T08:06:00Z</dcterms:created>
  <dcterms:modified xsi:type="dcterms:W3CDTF">2025-05-21T08:07:00Z</dcterms:modified>
</cp:coreProperties>
</file>